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9AF61" w14:textId="5E9CBA7D"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060FBD95"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02EB4688"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FF44C2">
        <w:rPr>
          <w:rFonts w:hint="eastAsia"/>
          <w:color w:val="000000" w:themeColor="text1"/>
        </w:rPr>
        <w:t>甲が主体的に実施する復興支援事業の業務運営</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1B267606"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DC39C1" w:rsidRPr="00034AB7">
        <w:rPr>
          <w:rFonts w:eastAsia="ＭＳ 明朝" w:cs="Times New Roman" w:hint="eastAsia"/>
          <w:color w:val="000000" w:themeColor="text1"/>
          <w:szCs w:val="21"/>
        </w:rPr>
        <w:t>2</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3A73703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甲は、前項により乙に著作権が留保された著作物につき、提出物を社内で利用するために必要な範囲で、甲の責任において複製</w:t>
      </w:r>
      <w:r w:rsidR="0099112C" w:rsidRPr="00034AB7">
        <w:rPr>
          <w:color w:val="000000" w:themeColor="text1"/>
        </w:rPr>
        <w:t>または</w:t>
      </w:r>
      <w:r w:rsidRPr="00034AB7">
        <w:rPr>
          <w:color w:val="000000" w:themeColor="text1"/>
        </w:rPr>
        <w:t>翻案することができるものとし、乙は、</w:t>
      </w:r>
      <w:r w:rsidR="00840714" w:rsidRPr="00034AB7">
        <w:rPr>
          <w:color w:val="000000" w:themeColor="text1"/>
        </w:rPr>
        <w:t>係る</w:t>
      </w:r>
      <w:r w:rsidRPr="00034AB7">
        <w:rPr>
          <w:color w:val="000000" w:themeColor="text1"/>
        </w:rPr>
        <w:t>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w:t>
      </w:r>
      <w:r w:rsidRPr="00034AB7">
        <w:rPr>
          <w:color w:val="000000" w:themeColor="text1"/>
        </w:rPr>
        <w:lastRenderedPageBreak/>
        <w:t>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A632C1D" w14:textId="6745D2AA" w:rsidR="00207559" w:rsidRPr="00034AB7" w:rsidRDefault="00207559" w:rsidP="00712F42">
      <w:pPr>
        <w:rPr>
          <w:rFonts w:eastAsia="ＭＳ 明朝" w:cs="Times New Roman"/>
          <w:color w:val="000000" w:themeColor="text1"/>
          <w:szCs w:val="20"/>
        </w:rPr>
      </w:pP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lastRenderedPageBreak/>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本契約の締結にあたり、甲または甲の関係会社の監査役会、監査委員会による承認</w:t>
      </w:r>
      <w:r w:rsidRPr="00034AB7">
        <w:rPr>
          <w:color w:val="000000" w:themeColor="text1"/>
        </w:rPr>
        <w:lastRenderedPageBreak/>
        <w:t>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2CBD82FF"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6288AA3B"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0F087A">
        <w:rPr>
          <w:rFonts w:hint="eastAsia"/>
          <w:color w:val="000000" w:themeColor="text1"/>
          <w:kern w:val="0"/>
        </w:rPr>
        <w:t>－</w:t>
      </w:r>
      <w:r w:rsidR="00996310" w:rsidRPr="00034AB7">
        <w:rPr>
          <w:color w:val="000000" w:themeColor="text1"/>
          <w:kern w:val="0"/>
        </w:rPr>
        <w:t>6</w:t>
      </w:r>
      <w:r w:rsidR="000F087A">
        <w:rPr>
          <w:color w:val="000000" w:themeColor="text1"/>
          <w:kern w:val="0"/>
        </w:rPr>
        <w:t xml:space="preserve"> </w:t>
      </w:r>
      <w:r w:rsidR="00902CEE">
        <w:rPr>
          <w:rFonts w:hint="eastAsia"/>
          <w:color w:val="000000" w:themeColor="text1"/>
          <w:kern w:val="0"/>
        </w:rPr>
        <w:t>福島セントランド</w:t>
      </w:r>
      <w:r w:rsidR="00996310" w:rsidRPr="00034AB7">
        <w:rPr>
          <w:rFonts w:hint="eastAsia"/>
          <w:color w:val="000000" w:themeColor="text1"/>
          <w:kern w:val="0"/>
        </w:rPr>
        <w:t>ビル</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25E817AD"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902CEE">
        <w:rPr>
          <w:rFonts w:hint="eastAsia"/>
          <w:color w:val="000000" w:themeColor="text1"/>
          <w:szCs w:val="21"/>
        </w:rPr>
        <w:t>大坪</w:t>
      </w:r>
      <w:r w:rsidR="00F12124" w:rsidRPr="00902CEE">
        <w:rPr>
          <w:rFonts w:hint="eastAsia"/>
          <w:color w:val="000000" w:themeColor="text1"/>
          <w:szCs w:val="21"/>
        </w:rPr>
        <w:t xml:space="preserve">　</w:t>
      </w:r>
      <w:r w:rsidR="00902CEE">
        <w:rPr>
          <w:rFonts w:hint="eastAsia"/>
          <w:color w:val="000000" w:themeColor="text1"/>
          <w:szCs w:val="21"/>
        </w:rPr>
        <w:t>知博</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D2A9E" w14:textId="77777777" w:rsidR="00CA67D3" w:rsidRDefault="00CA67D3">
      <w:r>
        <w:separator/>
      </w:r>
    </w:p>
  </w:endnote>
  <w:endnote w:type="continuationSeparator" w:id="0">
    <w:p w14:paraId="54B5E70F" w14:textId="77777777" w:rsidR="00CA67D3" w:rsidRDefault="00CA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F664" w14:textId="77777777" w:rsidR="00065316" w:rsidRDefault="000653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B009" w14:textId="2EE9ED81"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065316">
      <w:rPr>
        <w:rStyle w:val="a5"/>
        <w:noProof/>
      </w:rPr>
      <w:t>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AD70" w14:textId="77777777" w:rsidR="00065316" w:rsidRDefault="000653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EE95" w14:textId="77777777" w:rsidR="00CA67D3" w:rsidRDefault="00CA67D3">
      <w:r>
        <w:separator/>
      </w:r>
    </w:p>
  </w:footnote>
  <w:footnote w:type="continuationSeparator" w:id="0">
    <w:p w14:paraId="20916170" w14:textId="77777777" w:rsidR="00CA67D3" w:rsidRDefault="00CA6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77A4" w14:textId="77777777" w:rsidR="00065316" w:rsidRDefault="000653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90D0" w14:textId="3B648AFD" w:rsidR="009675A6" w:rsidRPr="00065316" w:rsidRDefault="009675A6" w:rsidP="00065316">
    <w:pPr>
      <w:pStyle w:val="a6"/>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EACED" w14:textId="77777777" w:rsidR="00065316" w:rsidRDefault="000653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3"/>
  </w:num>
  <w:num w:numId="3">
    <w:abstractNumId w:val="9"/>
  </w:num>
  <w:num w:numId="4">
    <w:abstractNumId w:val="5"/>
  </w:num>
  <w:num w:numId="5">
    <w:abstractNumId w:val="15"/>
  </w:num>
  <w:num w:numId="6">
    <w:abstractNumId w:val="22"/>
  </w:num>
  <w:num w:numId="7">
    <w:abstractNumId w:val="0"/>
  </w:num>
  <w:num w:numId="8">
    <w:abstractNumId w:val="25"/>
  </w:num>
  <w:num w:numId="9">
    <w:abstractNumId w:val="31"/>
  </w:num>
  <w:num w:numId="10">
    <w:abstractNumId w:val="11"/>
  </w:num>
  <w:num w:numId="11">
    <w:abstractNumId w:val="12"/>
  </w:num>
  <w:num w:numId="12">
    <w:abstractNumId w:val="8"/>
  </w:num>
  <w:num w:numId="13">
    <w:abstractNumId w:val="20"/>
  </w:num>
  <w:num w:numId="14">
    <w:abstractNumId w:val="24"/>
  </w:num>
  <w:num w:numId="15">
    <w:abstractNumId w:val="3"/>
  </w:num>
  <w:num w:numId="16">
    <w:abstractNumId w:val="17"/>
  </w:num>
  <w:num w:numId="17">
    <w:abstractNumId w:val="26"/>
  </w:num>
  <w:num w:numId="18">
    <w:abstractNumId w:val="7"/>
  </w:num>
  <w:num w:numId="19">
    <w:abstractNumId w:val="28"/>
  </w:num>
  <w:num w:numId="20">
    <w:abstractNumId w:val="16"/>
  </w:num>
  <w:num w:numId="21">
    <w:abstractNumId w:val="29"/>
  </w:num>
  <w:num w:numId="22">
    <w:abstractNumId w:val="18"/>
  </w:num>
  <w:num w:numId="23">
    <w:abstractNumId w:val="4"/>
  </w:num>
  <w:num w:numId="24">
    <w:abstractNumId w:val="2"/>
  </w:num>
  <w:num w:numId="25">
    <w:abstractNumId w:val="30"/>
  </w:num>
  <w:num w:numId="26">
    <w:abstractNumId w:val="27"/>
  </w:num>
  <w:num w:numId="27">
    <w:abstractNumId w:val="19"/>
  </w:num>
  <w:num w:numId="28">
    <w:abstractNumId w:val="14"/>
  </w:num>
  <w:num w:numId="29">
    <w:abstractNumId w:val="21"/>
  </w:num>
  <w:num w:numId="30">
    <w:abstractNumId w:val="23"/>
  </w:num>
  <w:num w:numId="31">
    <w:abstractNumId w:val="1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readOnly" w:enforcement="0"/>
  <w:defaultTabStop w:val="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65316"/>
    <w:rsid w:val="000713D0"/>
    <w:rsid w:val="00072BD6"/>
    <w:rsid w:val="00075C4B"/>
    <w:rsid w:val="00081342"/>
    <w:rsid w:val="000872D7"/>
    <w:rsid w:val="000A043F"/>
    <w:rsid w:val="000A3E32"/>
    <w:rsid w:val="000A7056"/>
    <w:rsid w:val="000B29F0"/>
    <w:rsid w:val="000B2DC3"/>
    <w:rsid w:val="000C134E"/>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96A01"/>
    <w:rsid w:val="002A0AA3"/>
    <w:rsid w:val="002A0B81"/>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02CEE"/>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0F1"/>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A67D3"/>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E5B72-8E7F-4CDD-B138-E97357D2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1297</Words>
  <Characters>7395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2025-05-12T02:16:00Z</dcterms:created>
  <dcterms:modified xsi:type="dcterms:W3CDTF">2025-05-12T02:16:00Z</dcterms:modified>
</cp:coreProperties>
</file>